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27" w:rsidRDefault="00870827" w:rsidP="00870827">
      <w:r>
        <w:t xml:space="preserve">CAPITULO IV DE LA SECRETARIA GENERAL </w:t>
      </w:r>
    </w:p>
    <w:p w:rsidR="00870827" w:rsidRDefault="00870827" w:rsidP="00870827">
      <w:r>
        <w:t xml:space="preserve"> </w:t>
      </w:r>
    </w:p>
    <w:p w:rsidR="00870827" w:rsidRDefault="00870827" w:rsidP="00870827">
      <w:r>
        <w:t xml:space="preserve">Artículo 20.- Para ser Secretario General, se necesita satisfacer los mismos requisitos que para ser Director de la Facultad. </w:t>
      </w:r>
    </w:p>
    <w:p w:rsidR="00870827" w:rsidRDefault="00870827" w:rsidP="00870827">
      <w:r>
        <w:t xml:space="preserve"> </w:t>
      </w:r>
    </w:p>
    <w:p w:rsidR="00870827" w:rsidRDefault="00870827" w:rsidP="00870827">
      <w:r>
        <w:t>Artículo 21.- Son atribuc</w:t>
      </w:r>
      <w:r>
        <w:t xml:space="preserve">iones del Secretario General:  </w:t>
      </w:r>
    </w:p>
    <w:p w:rsidR="00870827" w:rsidRDefault="00870827" w:rsidP="00870827">
      <w:r>
        <w:t xml:space="preserve"> I.- Suplir al Director en sus faltas temporales, que no excedan de 60 días hábiles previa autorización del Rector y a petición del Director.     </w:t>
      </w:r>
    </w:p>
    <w:p w:rsidR="00870827" w:rsidRDefault="00870827" w:rsidP="00870827">
      <w:r>
        <w:t xml:space="preserve"> II.- Vigilar y coordinar las funciones de las dependencias a su cargo.     </w:t>
      </w:r>
    </w:p>
    <w:p w:rsidR="00870827" w:rsidRDefault="00870827" w:rsidP="00870827">
      <w:r>
        <w:t xml:space="preserve"> III.- Solicitar a las dependencias a su cargo, bimestralmente, un informe de sus actividades y su desarrollo continuo; en casos de urgencia, el informe podrá ser requerido en cualquier tiempo.      </w:t>
      </w:r>
    </w:p>
    <w:p w:rsidR="00870827" w:rsidRDefault="00870827" w:rsidP="00870827">
      <w:r>
        <w:t xml:space="preserve">IV.- Llevar organizadamente el archivo, libros, documentos y sellos de la Facultad bajo su más estricta responsabilidad, controlando el movimiento general de las oficinas.     </w:t>
      </w:r>
    </w:p>
    <w:p w:rsidR="00870827" w:rsidRDefault="00870827" w:rsidP="00870827">
      <w:r>
        <w:t xml:space="preserve"> V.- Expedir, con acuerdo del Director, los certificados y constancias de estudios para su remisión a la Secretaría General de la Universidad.     </w:t>
      </w:r>
    </w:p>
    <w:p w:rsidR="00870827" w:rsidRDefault="00870827" w:rsidP="00870827">
      <w:r>
        <w:t xml:space="preserve"> VI.- Integrar la Comisión de Revalidación de Estudios de la Universidad, en los asuntos de su competencia, de conformidad con el Reglamento respectivo.     </w:t>
      </w:r>
    </w:p>
    <w:p w:rsidR="00870827" w:rsidRDefault="00870827" w:rsidP="00870827">
      <w:r>
        <w:t xml:space="preserve"> VII.- Celebrar acuerdos diariamente con el Director, informándole de todas las actividades que afecten el desarrollo académico y administrativo de la Institución.      </w:t>
      </w:r>
    </w:p>
    <w:p w:rsidR="00870827" w:rsidRDefault="00870827" w:rsidP="00870827">
      <w:r>
        <w:t xml:space="preserve">VIII.- Fungir como Secretario en las sesiones que celebre el H. Consejo Técnico Consultivo, con voz.      </w:t>
      </w:r>
    </w:p>
    <w:p w:rsidR="00870827" w:rsidRDefault="00870827" w:rsidP="00870827">
      <w:r>
        <w:t xml:space="preserve">IX.- Vigilar que oportunamente se elaboren los horarios de cátedra, de cada semestre2 lectivo.      </w:t>
      </w:r>
    </w:p>
    <w:p w:rsidR="00870827" w:rsidRDefault="00870827" w:rsidP="00870827">
      <w:r>
        <w:t xml:space="preserve">X.- Coordinar y vigilar los trámites de preinscripción de los alumnos, auxiliándose para ello con la Comisión de Admisión respectiva.      </w:t>
      </w:r>
    </w:p>
    <w:p w:rsidR="00870827" w:rsidRDefault="00870827" w:rsidP="00870827">
      <w:r>
        <w:t xml:space="preserve">XI.- Elaborar la planta de exámenes finales -ordinarios y extraordinarios- y a título de </w:t>
      </w:r>
      <w:proofErr w:type="gramStart"/>
      <w:r>
        <w:t>suficiencia</w:t>
      </w:r>
      <w:proofErr w:type="gramEnd"/>
      <w:r>
        <w:t xml:space="preserve"> así como los otros de su competencia.     </w:t>
      </w:r>
    </w:p>
    <w:p w:rsidR="00870827" w:rsidRDefault="00870827" w:rsidP="00870827">
      <w:r>
        <w:t xml:space="preserve"> XII.- Controlar el registro de asistencia del personal académico.     </w:t>
      </w:r>
    </w:p>
    <w:p w:rsidR="00870827" w:rsidRDefault="00870827" w:rsidP="00870827">
      <w:r>
        <w:t xml:space="preserve">XIII.- Autorizar el trámite del examen profesional, previa la acreditación de alguna de las formas de titulación a que hace mención el artículo 165 de este Reglamento, y demás trámites administrativos, que verificará el Encargado del Departamento de Titulación.     </w:t>
      </w:r>
    </w:p>
    <w:p w:rsidR="00870827" w:rsidRDefault="00870827" w:rsidP="00870827">
      <w:r>
        <w:t xml:space="preserve"> XIV.- Atender al personal académico, administrativo y alumnos en los asuntos de su competencia.      XV.- Suplir al Jefe del Instituto de Investigaciones Jurídicas, cuando sea necesario.    </w:t>
      </w:r>
    </w:p>
    <w:p w:rsidR="00870827" w:rsidRDefault="00870827" w:rsidP="00870827">
      <w:r>
        <w:t xml:space="preserve">  XVI.- Dar a conocer por escrito a los interesados, los acuerdos y resoluciones que, a juicio del H. Consejo Técnico Consultivo, deban darse publicidad dentro de las veinticuatro horas siguientes a la </w:t>
      </w:r>
      <w:r>
        <w:lastRenderedPageBreak/>
        <w:t xml:space="preserve">sesión respectiva.     </w:t>
      </w:r>
    </w:p>
    <w:p w:rsidR="0042775D" w:rsidRDefault="00870827" w:rsidP="00870827">
      <w:bookmarkStart w:id="0" w:name="_GoBack"/>
      <w:bookmarkEnd w:id="0"/>
      <w:r>
        <w:t xml:space="preserve"> XVII.- Las demás cuya intervención sea necesaria y no contravengan las disposiciones para la buena marcha de la institución.</w:t>
      </w:r>
    </w:p>
    <w:sectPr w:rsidR="004277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27"/>
    <w:rsid w:val="00103351"/>
    <w:rsid w:val="00290B05"/>
    <w:rsid w:val="0087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0135"/>
  <w15:chartTrackingRefBased/>
  <w15:docId w15:val="{A0B72B56-AA7A-4D0A-95EE-6A4A5DA0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7F4065BD78B47B754689F9E402337" ma:contentTypeVersion="0" ma:contentTypeDescription="Crear nuevo documento." ma:contentTypeScope="" ma:versionID="b2a3400c22fce83edefc67cfda3f7e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74601-56CC-4DFB-9E84-C5E5F3B9BAE1}"/>
</file>

<file path=customXml/itemProps2.xml><?xml version="1.0" encoding="utf-8"?>
<ds:datastoreItem xmlns:ds="http://schemas.openxmlformats.org/officeDocument/2006/customXml" ds:itemID="{B5DA4385-3461-4251-95E6-7AE1396150D3}"/>
</file>

<file path=customXml/itemProps3.xml><?xml version="1.0" encoding="utf-8"?>
<ds:datastoreItem xmlns:ds="http://schemas.openxmlformats.org/officeDocument/2006/customXml" ds:itemID="{D08BE70F-25A5-4E47-AC8A-3AFF9D30A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2020-07-07T18:48:00Z</dcterms:created>
  <dcterms:modified xsi:type="dcterms:W3CDTF">2020-07-07T18:50:00Z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0x0101006C67F4065BD78B47B754689F9E402337</vt:lpwstr>
  </property>
</Properties>
</file>